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28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黑体" w:hAnsi="黑体" w:eastAsia="黑体" w:cs="黑体"/>
          <w:i w:val="0"/>
          <w:iCs w:val="0"/>
          <w:caps w:val="0"/>
          <w:color w:val="555555"/>
          <w:spacing w:val="0"/>
          <w:sz w:val="32"/>
          <w:szCs w:val="32"/>
          <w:shd w:val="clear" w:fill="FFFFFF"/>
          <w:lang w:val="en-US" w:eastAsia="zh-CN"/>
        </w:rPr>
      </w:pPr>
      <w:r>
        <w:rPr>
          <w:rFonts w:hint="eastAsia" w:ascii="黑体" w:hAnsi="黑体" w:eastAsia="黑体" w:cs="黑体"/>
          <w:i w:val="0"/>
          <w:iCs w:val="0"/>
          <w:caps w:val="0"/>
          <w:color w:val="555555"/>
          <w:spacing w:val="0"/>
          <w:sz w:val="32"/>
          <w:szCs w:val="32"/>
          <w:shd w:val="clear" w:fill="FFFFFF"/>
          <w:lang w:val="en-US" w:eastAsia="zh-CN"/>
        </w:rPr>
        <w:t>附件1</w:t>
      </w:r>
    </w:p>
    <w:p w14:paraId="316E34EE">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成人手腕带规格参数</w:t>
      </w:r>
    </w:p>
    <w:tbl>
      <w:tblPr>
        <w:tblStyle w:val="3"/>
        <w:tblW w:w="8940"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9"/>
        <w:gridCol w:w="6501"/>
      </w:tblGrid>
      <w:tr w14:paraId="5F55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733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指标项</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C0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技术参数</w:t>
            </w:r>
          </w:p>
        </w:tc>
      </w:tr>
      <w:tr w14:paraId="1E4C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2A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唯一性</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C6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腕带锁扣为一次性使用、不可拆卸，腕带材质拉伸无弹性，保证唯一性。</w:t>
            </w:r>
          </w:p>
        </w:tc>
      </w:tr>
      <w:tr w14:paraId="610C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39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持久性</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C9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可扫描期≥90天（常温下），腕带上的字迹不会轻易被洗掉或被搽掉。腕带抗刮搽耐受性和高效抵抗血液、IPA、污水、清洁剂、酒精等的侵蚀。</w:t>
            </w:r>
          </w:p>
        </w:tc>
      </w:tr>
      <w:tr w14:paraId="15F2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DB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安全性</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AE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腕带采用医用级别的材料，超柔软、佩戴舒适、环保，不引起患者皮肤过敏。</w:t>
            </w:r>
          </w:p>
        </w:tc>
      </w:tr>
      <w:tr w14:paraId="4702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E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打印方式</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2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热转印打印（免费配碳带）</w:t>
            </w:r>
          </w:p>
        </w:tc>
      </w:tr>
      <w:tr w14:paraId="3126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5B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支持打印内容</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94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文字、一维码、二维码</w:t>
            </w:r>
          </w:p>
        </w:tc>
      </w:tr>
      <w:tr w14:paraId="1CA1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3B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腕带权威认证</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85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企业通过ISO9001国际质量体系认证、高新技术企业认证，FDA和SGS认证（RoHS安全报告）。</w:t>
            </w:r>
          </w:p>
        </w:tc>
      </w:tr>
      <w:tr w14:paraId="0D75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D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材质类型</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8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纳米硅胶材料</w:t>
            </w:r>
          </w:p>
        </w:tc>
      </w:tr>
      <w:tr w14:paraId="55C2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CD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适用对象</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35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成人</w:t>
            </w:r>
          </w:p>
        </w:tc>
      </w:tr>
      <w:tr w14:paraId="2D77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E1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打印区域</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D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95mm*29mm</w:t>
            </w:r>
          </w:p>
        </w:tc>
      </w:tr>
      <w:tr w14:paraId="1A60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43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腕带尺寸</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444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产品规格: 291mmx40mm,取出后283mmx29mm  </w:t>
            </w:r>
          </w:p>
        </w:tc>
      </w:tr>
      <w:tr w14:paraId="57C8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FA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腕带颜色</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34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天蓝色</w:t>
            </w:r>
          </w:p>
        </w:tc>
      </w:tr>
      <w:tr w14:paraId="5390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DE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扣子颜色</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E3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白色、粉红、粉蓝、大红、大黄，可供识别特殊人群。</w:t>
            </w:r>
          </w:p>
        </w:tc>
      </w:tr>
      <w:tr w14:paraId="1501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6F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包装</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5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100条/卷，6卷/盒，10盒/箱</w:t>
            </w:r>
          </w:p>
        </w:tc>
      </w:tr>
    </w:tbl>
    <w:p w14:paraId="4B03F19E">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备注：</w:t>
      </w:r>
    </w:p>
    <w:p w14:paraId="30298761">
      <w:p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向金海湖院区按需提供成人电子手腕带打印配套打印设备（如打印机等至少2台以上），向广惠院区按需提供成人电子手腕带打印配套打印设备（如打印机等至少2台以上）。</w:t>
      </w:r>
    </w:p>
    <w:p w14:paraId="237DE074">
      <w:pPr>
        <w:jc w:val="both"/>
        <w:rPr>
          <w:rFonts w:hint="eastAsia" w:ascii="方正小标宋简体" w:hAnsi="方正小标宋简体" w:eastAsia="方正小标宋简体" w:cs="方正小标宋简体"/>
          <w:sz w:val="36"/>
          <w:szCs w:val="36"/>
          <w:lang w:val="en-US" w:eastAsia="zh-CN"/>
        </w:rPr>
      </w:pPr>
    </w:p>
    <w:p w14:paraId="187796E3">
      <w:pPr>
        <w:jc w:val="center"/>
        <w:rPr>
          <w:rFonts w:hint="default"/>
          <w:sz w:val="36"/>
          <w:szCs w:val="36"/>
          <w:lang w:val="en-US" w:eastAsia="zh-CN"/>
        </w:rPr>
      </w:pPr>
      <w:r>
        <w:rPr>
          <w:rFonts w:hint="eastAsia" w:ascii="方正小标宋简体" w:hAnsi="方正小标宋简体" w:eastAsia="方正小标宋简体" w:cs="方正小标宋简体"/>
          <w:sz w:val="36"/>
          <w:szCs w:val="36"/>
          <w:lang w:val="en-US" w:eastAsia="zh-CN"/>
        </w:rPr>
        <w:t>儿童手腕带规格参数</w:t>
      </w:r>
    </w:p>
    <w:tbl>
      <w:tblPr>
        <w:tblStyle w:val="4"/>
        <w:tblpPr w:leftFromText="180" w:rightFromText="180" w:vertAnchor="text" w:horzAnchor="page" w:tblpX="1717" w:tblpY="70"/>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6514"/>
      </w:tblGrid>
      <w:tr w14:paraId="4137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29" w:type="dxa"/>
            <w:noWrap w:val="0"/>
            <w:vAlign w:val="top"/>
          </w:tcPr>
          <w:p w14:paraId="0A783AF8">
            <w:pPr>
              <w:shd w:val="solid" w:color="FFFFFF" w:fill="auto"/>
              <w:kinsoku/>
              <w:autoSpaceDE/>
              <w:autoSpaceDN w:val="0"/>
              <w:spacing w:line="23" w:lineRule="atLeast"/>
              <w:ind w:left="0" w:leftChars="0" w:firstLine="0" w:firstLineChars="0"/>
              <w:jc w:val="center"/>
              <w:rPr>
                <w:rFonts w:hint="eastAsia" w:ascii="黑体" w:hAnsi="黑体" w:eastAsia="黑体" w:cs="黑体"/>
                <w:b/>
                <w:bCs/>
                <w:color w:val="auto"/>
                <w:sz w:val="24"/>
                <w:szCs w:val="24"/>
                <w:shd w:val="clear" w:color="auto" w:fill="auto"/>
                <w:lang w:val="en-US" w:eastAsia="zh-CN"/>
              </w:rPr>
            </w:pPr>
            <w:r>
              <w:rPr>
                <w:rFonts w:hint="eastAsia" w:ascii="黑体" w:hAnsi="黑体" w:eastAsia="黑体" w:cs="黑体"/>
                <w:b/>
                <w:bCs/>
                <w:color w:val="auto"/>
                <w:sz w:val="24"/>
                <w:szCs w:val="24"/>
                <w:shd w:val="clear" w:color="auto" w:fill="auto"/>
                <w:lang w:val="en-US" w:eastAsia="zh-CN"/>
              </w:rPr>
              <w:t>指标项</w:t>
            </w:r>
          </w:p>
        </w:tc>
        <w:tc>
          <w:tcPr>
            <w:tcW w:w="6514" w:type="dxa"/>
            <w:noWrap w:val="0"/>
            <w:vAlign w:val="top"/>
          </w:tcPr>
          <w:p w14:paraId="5761B051">
            <w:pPr>
              <w:shd w:val="solid" w:color="FFFFFF" w:fill="auto"/>
              <w:kinsoku/>
              <w:autoSpaceDE/>
              <w:autoSpaceDN w:val="0"/>
              <w:spacing w:line="23" w:lineRule="atLeast"/>
              <w:ind w:left="0" w:leftChars="0" w:firstLine="0" w:firstLineChars="0"/>
              <w:jc w:val="center"/>
              <w:rPr>
                <w:rFonts w:hint="eastAsia" w:ascii="黑体" w:hAnsi="黑体" w:eastAsia="黑体" w:cs="黑体"/>
                <w:b/>
                <w:bCs/>
                <w:color w:val="auto"/>
                <w:sz w:val="24"/>
                <w:szCs w:val="24"/>
                <w:shd w:val="clear" w:color="auto" w:fill="auto"/>
                <w:lang w:val="en-US" w:eastAsia="zh-CN"/>
              </w:rPr>
            </w:pPr>
            <w:r>
              <w:rPr>
                <w:rFonts w:hint="eastAsia" w:ascii="黑体" w:hAnsi="黑体" w:eastAsia="黑体" w:cs="黑体"/>
                <w:b/>
                <w:bCs/>
                <w:color w:val="auto"/>
                <w:sz w:val="24"/>
                <w:szCs w:val="24"/>
                <w:shd w:val="clear" w:color="auto" w:fill="auto"/>
                <w:lang w:val="en-US" w:eastAsia="zh-CN"/>
              </w:rPr>
              <w:t>技术参数</w:t>
            </w:r>
          </w:p>
        </w:tc>
      </w:tr>
      <w:tr w14:paraId="3486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66A4AD4C">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唯一性</w:t>
            </w:r>
          </w:p>
        </w:tc>
        <w:tc>
          <w:tcPr>
            <w:tcW w:w="6514" w:type="dxa"/>
            <w:noWrap w:val="0"/>
            <w:vAlign w:val="top"/>
          </w:tcPr>
          <w:p w14:paraId="1D32163A">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腕带锁扣为一次性使用、不可拆卸，腕带材质拉伸无弹性，保证唯一性。</w:t>
            </w:r>
          </w:p>
        </w:tc>
      </w:tr>
      <w:tr w14:paraId="7260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61A28DA3">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持久性</w:t>
            </w:r>
          </w:p>
        </w:tc>
        <w:tc>
          <w:tcPr>
            <w:tcW w:w="6514" w:type="dxa"/>
            <w:noWrap w:val="0"/>
            <w:vAlign w:val="top"/>
          </w:tcPr>
          <w:p w14:paraId="711076E4">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可扫描期≥90天（常温下），腕带上的字迹不会轻易被洗掉或被搽掉。腕带抗刮搽耐受性和高效抵抗血液、IPA、污水、清洁剂、酒精等的侵蚀。</w:t>
            </w:r>
          </w:p>
        </w:tc>
      </w:tr>
      <w:tr w14:paraId="6FD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7C185A4C">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安全性</w:t>
            </w:r>
          </w:p>
        </w:tc>
        <w:tc>
          <w:tcPr>
            <w:tcW w:w="6514" w:type="dxa"/>
            <w:noWrap w:val="0"/>
            <w:vAlign w:val="top"/>
          </w:tcPr>
          <w:p w14:paraId="2A95BE63">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腕带采用医用级别的材料，超柔软、佩戴舒适、环保，不引起患者皮肤过敏。</w:t>
            </w:r>
          </w:p>
        </w:tc>
      </w:tr>
      <w:tr w14:paraId="1250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0F81951B">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打印方式</w:t>
            </w:r>
          </w:p>
        </w:tc>
        <w:tc>
          <w:tcPr>
            <w:tcW w:w="6514" w:type="dxa"/>
            <w:noWrap w:val="0"/>
            <w:vAlign w:val="top"/>
          </w:tcPr>
          <w:p w14:paraId="7C0008BA">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热转印打印（免费配碳带）</w:t>
            </w:r>
          </w:p>
        </w:tc>
      </w:tr>
      <w:tr w14:paraId="285A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666E7243">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支持打印内容</w:t>
            </w:r>
          </w:p>
        </w:tc>
        <w:tc>
          <w:tcPr>
            <w:tcW w:w="6514" w:type="dxa"/>
            <w:noWrap w:val="0"/>
            <w:vAlign w:val="top"/>
          </w:tcPr>
          <w:p w14:paraId="451D62D6">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文字、一维码、二维码</w:t>
            </w:r>
          </w:p>
        </w:tc>
      </w:tr>
      <w:tr w14:paraId="0167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429" w:type="dxa"/>
            <w:noWrap w:val="0"/>
            <w:vAlign w:val="top"/>
          </w:tcPr>
          <w:p w14:paraId="07A4B115">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腕带权威认证</w:t>
            </w:r>
          </w:p>
        </w:tc>
        <w:tc>
          <w:tcPr>
            <w:tcW w:w="6514" w:type="dxa"/>
            <w:noWrap w:val="0"/>
            <w:vAlign w:val="top"/>
          </w:tcPr>
          <w:p w14:paraId="4B3C5E88">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企业通过ISO9001国际质量体系认证、高新技术企业认证，FDA和SGS认证（RoHS安全报告）。</w:t>
            </w:r>
          </w:p>
        </w:tc>
      </w:tr>
      <w:tr w14:paraId="6CEB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5BCB78B1">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材质类型</w:t>
            </w:r>
          </w:p>
        </w:tc>
        <w:tc>
          <w:tcPr>
            <w:tcW w:w="6514" w:type="dxa"/>
            <w:noWrap w:val="0"/>
            <w:vAlign w:val="top"/>
          </w:tcPr>
          <w:p w14:paraId="70415B67">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纳米硅胶材料</w:t>
            </w:r>
          </w:p>
        </w:tc>
      </w:tr>
      <w:tr w14:paraId="3643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noWrap w:val="0"/>
            <w:vAlign w:val="top"/>
          </w:tcPr>
          <w:p w14:paraId="635E0B92">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适用对象</w:t>
            </w:r>
          </w:p>
        </w:tc>
        <w:tc>
          <w:tcPr>
            <w:tcW w:w="6514" w:type="dxa"/>
            <w:noWrap w:val="0"/>
            <w:vAlign w:val="top"/>
          </w:tcPr>
          <w:p w14:paraId="08943E9B">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儿童</w:t>
            </w:r>
          </w:p>
        </w:tc>
      </w:tr>
      <w:tr w14:paraId="43DF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noWrap w:val="0"/>
            <w:vAlign w:val="top"/>
          </w:tcPr>
          <w:p w14:paraId="7E342FF2">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打印区域</w:t>
            </w:r>
          </w:p>
        </w:tc>
        <w:tc>
          <w:tcPr>
            <w:tcW w:w="6514" w:type="dxa"/>
            <w:noWrap w:val="0"/>
            <w:vAlign w:val="top"/>
          </w:tcPr>
          <w:p w14:paraId="3CAAD78D">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 xml:space="preserve">80mm*20mm </w:t>
            </w:r>
          </w:p>
        </w:tc>
      </w:tr>
      <w:tr w14:paraId="64DB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429" w:type="dxa"/>
            <w:noWrap w:val="0"/>
            <w:vAlign w:val="top"/>
          </w:tcPr>
          <w:p w14:paraId="462F8D87">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腕带尺寸</w:t>
            </w:r>
          </w:p>
        </w:tc>
        <w:tc>
          <w:tcPr>
            <w:tcW w:w="6514" w:type="dxa"/>
            <w:noWrap w:val="0"/>
            <w:vAlign w:val="top"/>
          </w:tcPr>
          <w:p w14:paraId="7C448654">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 xml:space="preserve">222mm*30mm  </w:t>
            </w:r>
          </w:p>
        </w:tc>
      </w:tr>
      <w:tr w14:paraId="59A2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29" w:type="dxa"/>
            <w:noWrap w:val="0"/>
            <w:vAlign w:val="top"/>
          </w:tcPr>
          <w:p w14:paraId="6EDAE8CA">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腕带颜色</w:t>
            </w:r>
          </w:p>
        </w:tc>
        <w:tc>
          <w:tcPr>
            <w:tcW w:w="6514" w:type="dxa"/>
            <w:noWrap w:val="0"/>
            <w:vAlign w:val="top"/>
          </w:tcPr>
          <w:p w14:paraId="7128614E">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橙色</w:t>
            </w:r>
          </w:p>
        </w:tc>
      </w:tr>
      <w:tr w14:paraId="6B0D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noWrap w:val="0"/>
            <w:vAlign w:val="top"/>
          </w:tcPr>
          <w:p w14:paraId="1624AAE0">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扣子颜色</w:t>
            </w:r>
          </w:p>
        </w:tc>
        <w:tc>
          <w:tcPr>
            <w:tcW w:w="6514" w:type="dxa"/>
            <w:noWrap w:val="0"/>
            <w:vAlign w:val="top"/>
          </w:tcPr>
          <w:p w14:paraId="1429866B">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白色、粉红、粉蓝、大红、大黄，可供识别特殊人群。</w:t>
            </w:r>
          </w:p>
        </w:tc>
      </w:tr>
      <w:tr w14:paraId="7D06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noWrap w:val="0"/>
            <w:vAlign w:val="top"/>
          </w:tcPr>
          <w:p w14:paraId="24EE0229">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包装</w:t>
            </w:r>
          </w:p>
        </w:tc>
        <w:tc>
          <w:tcPr>
            <w:tcW w:w="6514" w:type="dxa"/>
            <w:noWrap w:val="0"/>
            <w:vAlign w:val="top"/>
          </w:tcPr>
          <w:p w14:paraId="1210F692">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100条/卷，6卷/盒，10盒/箱</w:t>
            </w:r>
          </w:p>
        </w:tc>
      </w:tr>
    </w:tbl>
    <w:p w14:paraId="29BC58C3">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备注：</w:t>
      </w:r>
    </w:p>
    <w:p w14:paraId="08CFA53E">
      <w:p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向金海湖院区按需提供儿童电子手腕带打印配套打印设备（如打印机等至少2台以上），向广惠院区按需提供儿童电子手腕带打印配套打印设备（如打印机等至少2台以上）。</w:t>
      </w:r>
    </w:p>
    <w:p w14:paraId="78913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宋体" w:hAnsi="宋体" w:eastAsia="宋体" w:cs="宋体"/>
          <w:i w:val="0"/>
          <w:iCs w:val="0"/>
          <w:caps w:val="0"/>
          <w:color w:val="555555"/>
          <w:spacing w:val="0"/>
          <w:sz w:val="24"/>
          <w:szCs w:val="24"/>
          <w:shd w:val="clear" w:fill="FFFFFF"/>
          <w:lang w:val="en-US" w:eastAsia="zh-CN"/>
        </w:rPr>
      </w:pPr>
    </w:p>
    <w:p w14:paraId="33DD4830">
      <w:pPr>
        <w:rPr>
          <w:rFonts w:ascii="Times New Roman" w:hAnsi="Times New Roman" w:eastAsia="宋体" w:cs="Times New Roman"/>
          <w:b/>
          <w:bCs/>
          <w:sz w:val="30"/>
          <w:szCs w:val="30"/>
        </w:rPr>
      </w:pPr>
    </w:p>
    <w:p w14:paraId="57BC2A77">
      <w:pPr>
        <w:rPr>
          <w:rFonts w:ascii="Times New Roman" w:hAnsi="Times New Roman" w:eastAsia="宋体" w:cs="Times New Roman"/>
          <w:b/>
          <w:bCs/>
          <w:sz w:val="30"/>
          <w:szCs w:val="30"/>
        </w:rPr>
      </w:pPr>
    </w:p>
    <w:p w14:paraId="4B783F70">
      <w:pPr>
        <w:rPr>
          <w:rFonts w:ascii="Times New Roman" w:hAnsi="Times New Roman" w:eastAsia="宋体" w:cs="Times New Roman"/>
          <w:b/>
          <w:bCs/>
          <w:sz w:val="30"/>
          <w:szCs w:val="30"/>
        </w:rPr>
      </w:pPr>
    </w:p>
    <w:p w14:paraId="66A6B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r>
        <w:rPr>
          <w:rFonts w:hint="eastAsia" w:ascii="黑体" w:hAnsi="黑体" w:eastAsia="黑体" w:cs="黑体"/>
          <w:i w:val="0"/>
          <w:iCs w:val="0"/>
          <w:caps w:val="0"/>
          <w:color w:val="555555"/>
          <w:spacing w:val="0"/>
          <w:sz w:val="32"/>
          <w:szCs w:val="32"/>
          <w:shd w:val="clear" w:fill="FFFFFF"/>
          <w:lang w:val="en-US" w:eastAsia="zh-CN"/>
        </w:rPr>
        <w:t>附件2</w:t>
      </w:r>
    </w:p>
    <w:p w14:paraId="38AB7AB6">
      <w:pPr>
        <w:spacing w:line="360" w:lineRule="auto"/>
        <w:ind w:firstLine="320" w:firstLineChars="100"/>
        <w:jc w:val="center"/>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rPr>
        <w:t>服务</w:t>
      </w:r>
      <w:r>
        <w:rPr>
          <w:rFonts w:hint="eastAsia" w:ascii="Times New Roman" w:hAnsi="Times New Roman" w:eastAsia="黑体"/>
          <w:color w:val="000000"/>
          <w:sz w:val="32"/>
          <w:szCs w:val="32"/>
          <w:highlight w:val="none"/>
          <w:lang w:val="en-US" w:eastAsia="zh-CN"/>
        </w:rPr>
        <w:t>内容及权责</w:t>
      </w:r>
    </w:p>
    <w:p w14:paraId="11E72761">
      <w:pPr>
        <w:spacing w:line="360" w:lineRule="auto"/>
        <w:rPr>
          <w:rFonts w:hint="eastAsia" w:ascii="仿宋_GB2312" w:hAnsi="Times New Roman" w:eastAsia="仿宋_GB2312"/>
          <w:color w:val="000000"/>
          <w:sz w:val="32"/>
          <w:szCs w:val="32"/>
          <w:highlight w:val="none"/>
        </w:rPr>
      </w:pPr>
      <w:r>
        <w:rPr>
          <w:rFonts w:hint="eastAsia" w:ascii="Times New Roman" w:hAnsi="Times New Roman" w:eastAsia="黑体"/>
          <w:color w:val="000000"/>
          <w:sz w:val="32"/>
          <w:szCs w:val="32"/>
          <w:highlight w:val="none"/>
        </w:rPr>
        <w:t xml:space="preserve"> </w:t>
      </w:r>
      <w:r>
        <w:rPr>
          <w:rFonts w:hint="eastAsia" w:ascii="Times New Roman" w:hAnsi="Times New Roman" w:eastAsia="黑体"/>
          <w:color w:val="000000"/>
          <w:sz w:val="32"/>
          <w:szCs w:val="32"/>
          <w:highlight w:val="none"/>
          <w:lang w:val="en-US" w:eastAsia="zh-CN"/>
        </w:rPr>
        <w:t xml:space="preserve"> </w:t>
      </w:r>
      <w:r>
        <w:rPr>
          <w:rFonts w:hint="eastAsia" w:ascii="仿宋_GB2312" w:hAnsi="Times New Roman" w:eastAsia="仿宋_GB2312"/>
          <w:color w:val="000000"/>
          <w:sz w:val="32"/>
          <w:szCs w:val="32"/>
          <w:highlight w:val="none"/>
        </w:rPr>
        <w:t>（</w:t>
      </w:r>
      <w:r>
        <w:rPr>
          <w:rFonts w:hint="eastAsia" w:ascii="仿宋_GB2312" w:hAnsi="Times New Roman" w:eastAsia="仿宋_GB2312"/>
          <w:color w:val="000000"/>
          <w:sz w:val="32"/>
          <w:szCs w:val="32"/>
          <w:highlight w:val="none"/>
          <w:lang w:val="en-US" w:eastAsia="zh-CN"/>
        </w:rPr>
        <w:t>一</w:t>
      </w:r>
      <w:r>
        <w:rPr>
          <w:rFonts w:hint="eastAsia" w:ascii="仿宋_GB2312" w:hAnsi="Times New Roman" w:eastAsia="仿宋_GB2312"/>
          <w:color w:val="000000"/>
          <w:sz w:val="32"/>
          <w:szCs w:val="32"/>
          <w:highlight w:val="none"/>
        </w:rPr>
        <w:t>）在接到</w:t>
      </w:r>
      <w:r>
        <w:rPr>
          <w:rFonts w:hint="eastAsia" w:ascii="仿宋_GB2312" w:hAnsi="Times New Roman" w:eastAsia="仿宋_GB2312"/>
          <w:color w:val="000000"/>
          <w:sz w:val="32"/>
          <w:szCs w:val="32"/>
          <w:highlight w:val="none"/>
          <w:lang w:val="en-US" w:eastAsia="zh-CN"/>
        </w:rPr>
        <w:t>招标方</w:t>
      </w:r>
      <w:r>
        <w:rPr>
          <w:rFonts w:hint="eastAsia" w:ascii="仿宋_GB2312" w:hAnsi="Times New Roman" w:eastAsia="仿宋_GB2312"/>
          <w:color w:val="000000"/>
          <w:sz w:val="32"/>
          <w:szCs w:val="32"/>
          <w:highlight w:val="none"/>
        </w:rPr>
        <w:t>反映</w:t>
      </w:r>
      <w:r>
        <w:rPr>
          <w:rFonts w:hint="eastAsia" w:ascii="仿宋_GB2312" w:hAnsi="Times New Roman" w:eastAsia="仿宋_GB2312"/>
          <w:color w:val="000000"/>
          <w:sz w:val="32"/>
          <w:szCs w:val="32"/>
          <w:highlight w:val="none"/>
          <w:lang w:val="en-US" w:eastAsia="zh-CN"/>
        </w:rPr>
        <w:t>打印</w:t>
      </w:r>
      <w:r>
        <w:rPr>
          <w:rFonts w:hint="eastAsia" w:ascii="仿宋_GB2312" w:hAnsi="Times New Roman" w:eastAsia="仿宋_GB2312"/>
          <w:color w:val="000000"/>
          <w:sz w:val="32"/>
          <w:szCs w:val="32"/>
          <w:highlight w:val="none"/>
        </w:rPr>
        <w:t>问题信息后，10分钟内响应，派出专业技术人员</w:t>
      </w:r>
      <w:r>
        <w:rPr>
          <w:rFonts w:hint="eastAsia" w:ascii="仿宋_GB2312" w:hAnsi="Times New Roman" w:eastAsia="仿宋_GB2312"/>
          <w:color w:val="000000"/>
          <w:sz w:val="32"/>
          <w:szCs w:val="32"/>
          <w:highlight w:val="none"/>
          <w:lang w:val="en-US" w:eastAsia="zh-CN"/>
        </w:rPr>
        <w:t>30分钟</w:t>
      </w:r>
      <w:r>
        <w:rPr>
          <w:rFonts w:hint="eastAsia" w:ascii="仿宋_GB2312" w:hAnsi="Times New Roman" w:eastAsia="仿宋_GB2312"/>
          <w:color w:val="000000"/>
          <w:sz w:val="32"/>
          <w:szCs w:val="32"/>
          <w:highlight w:val="none"/>
        </w:rPr>
        <w:t>内到达现场解决处理，全天24小时应急,及时有效</w:t>
      </w:r>
      <w:r>
        <w:rPr>
          <w:rFonts w:hint="eastAsia" w:ascii="仿宋_GB2312" w:hAnsi="Times New Roman" w:eastAsia="仿宋_GB2312"/>
          <w:color w:val="000000"/>
          <w:sz w:val="32"/>
          <w:szCs w:val="32"/>
          <w:highlight w:val="none"/>
          <w:lang w:val="en-US" w:eastAsia="zh-CN"/>
        </w:rPr>
        <w:t>处理打印故障问题</w:t>
      </w:r>
      <w:r>
        <w:rPr>
          <w:rFonts w:hint="eastAsia" w:ascii="仿宋_GB2312" w:hAnsi="Times New Roman" w:eastAsia="仿宋_GB2312"/>
          <w:color w:val="000000"/>
          <w:sz w:val="32"/>
          <w:szCs w:val="32"/>
          <w:highlight w:val="none"/>
        </w:rPr>
        <w:t>，提供优质的</w:t>
      </w:r>
      <w:r>
        <w:rPr>
          <w:rFonts w:hint="eastAsia" w:ascii="仿宋_GB2312" w:hAnsi="Times New Roman" w:eastAsia="仿宋_GB2312"/>
          <w:color w:val="000000"/>
          <w:sz w:val="32"/>
          <w:szCs w:val="32"/>
          <w:highlight w:val="none"/>
          <w:lang w:val="en-US" w:eastAsia="zh-CN"/>
        </w:rPr>
        <w:t>打印</w:t>
      </w:r>
      <w:r>
        <w:rPr>
          <w:rFonts w:hint="eastAsia" w:ascii="仿宋_GB2312" w:hAnsi="Times New Roman" w:eastAsia="仿宋_GB2312"/>
          <w:color w:val="000000"/>
          <w:sz w:val="32"/>
          <w:szCs w:val="32"/>
          <w:highlight w:val="none"/>
        </w:rPr>
        <w:t>维保服务</w:t>
      </w: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rPr>
        <w:t>因产品质量给</w:t>
      </w:r>
      <w:r>
        <w:rPr>
          <w:rFonts w:hint="eastAsia" w:ascii="仿宋_GB2312" w:hAnsi="Times New Roman" w:eastAsia="仿宋_GB2312"/>
          <w:color w:val="000000"/>
          <w:sz w:val="32"/>
          <w:szCs w:val="32"/>
          <w:highlight w:val="none"/>
          <w:lang w:val="en-US" w:eastAsia="zh-CN"/>
        </w:rPr>
        <w:t>招标</w:t>
      </w:r>
      <w:r>
        <w:rPr>
          <w:rFonts w:hint="eastAsia" w:ascii="仿宋_GB2312" w:hAnsi="Times New Roman" w:eastAsia="仿宋_GB2312"/>
          <w:color w:val="000000"/>
          <w:sz w:val="32"/>
          <w:szCs w:val="32"/>
          <w:highlight w:val="none"/>
        </w:rPr>
        <w:t>方造成的经济损失由</w:t>
      </w:r>
      <w:r>
        <w:rPr>
          <w:rFonts w:hint="eastAsia" w:ascii="仿宋_GB2312" w:hAnsi="Times New Roman" w:eastAsia="仿宋_GB2312"/>
          <w:color w:val="000000"/>
          <w:sz w:val="32"/>
          <w:szCs w:val="32"/>
          <w:highlight w:val="none"/>
          <w:lang w:val="en-US" w:eastAsia="zh-CN"/>
        </w:rPr>
        <w:t>中标</w:t>
      </w:r>
      <w:r>
        <w:rPr>
          <w:rFonts w:hint="eastAsia" w:ascii="仿宋_GB2312" w:hAnsi="Times New Roman" w:eastAsia="仿宋_GB2312"/>
          <w:color w:val="000000"/>
          <w:sz w:val="32"/>
          <w:szCs w:val="32"/>
          <w:highlight w:val="none"/>
        </w:rPr>
        <w:t>方承担。因</w:t>
      </w:r>
      <w:r>
        <w:rPr>
          <w:rFonts w:hint="eastAsia" w:ascii="仿宋_GB2312" w:hAnsi="Times New Roman" w:eastAsia="仿宋_GB2312"/>
          <w:color w:val="000000"/>
          <w:sz w:val="32"/>
          <w:szCs w:val="32"/>
          <w:highlight w:val="none"/>
          <w:lang w:val="en-US" w:eastAsia="zh-CN"/>
        </w:rPr>
        <w:t>中标方提供的打印服务存在</w:t>
      </w:r>
      <w:r>
        <w:rPr>
          <w:rFonts w:hint="eastAsia" w:ascii="仿宋_GB2312" w:hAnsi="Times New Roman" w:eastAsia="仿宋_GB2312"/>
          <w:color w:val="000000"/>
          <w:sz w:val="32"/>
          <w:szCs w:val="32"/>
          <w:highlight w:val="none"/>
        </w:rPr>
        <w:t>质量问题</w:t>
      </w: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rPr>
        <w:t>发生争议的，由有关质量监督部门进行质量鉴定。若</w:t>
      </w:r>
      <w:r>
        <w:rPr>
          <w:rFonts w:hint="eastAsia" w:ascii="仿宋_GB2312" w:hAnsi="Times New Roman" w:eastAsia="仿宋_GB2312"/>
          <w:color w:val="000000"/>
          <w:sz w:val="32"/>
          <w:szCs w:val="32"/>
          <w:highlight w:val="none"/>
          <w:lang w:val="en-US" w:eastAsia="zh-CN"/>
        </w:rPr>
        <w:t>中标方提供的服务</w:t>
      </w:r>
      <w:r>
        <w:rPr>
          <w:rFonts w:hint="eastAsia" w:ascii="仿宋_GB2312" w:hAnsi="Times New Roman" w:eastAsia="仿宋_GB2312"/>
          <w:color w:val="000000"/>
          <w:sz w:val="32"/>
          <w:szCs w:val="32"/>
          <w:highlight w:val="none"/>
        </w:rPr>
        <w:t>符合质量标准的，鉴定费用由</w:t>
      </w:r>
      <w:r>
        <w:rPr>
          <w:rFonts w:hint="eastAsia" w:ascii="仿宋_GB2312" w:hAnsi="Times New Roman" w:eastAsia="仿宋_GB2312"/>
          <w:color w:val="000000"/>
          <w:sz w:val="32"/>
          <w:szCs w:val="32"/>
          <w:highlight w:val="none"/>
          <w:lang w:val="en-US" w:eastAsia="zh-CN"/>
        </w:rPr>
        <w:t>招标方</w:t>
      </w:r>
      <w:r>
        <w:rPr>
          <w:rFonts w:hint="eastAsia" w:ascii="仿宋_GB2312" w:hAnsi="Times New Roman" w:eastAsia="仿宋_GB2312"/>
          <w:color w:val="000000"/>
          <w:sz w:val="32"/>
          <w:szCs w:val="32"/>
          <w:highlight w:val="none"/>
        </w:rPr>
        <w:t>承担；不符合质量标准的，费用由</w:t>
      </w:r>
      <w:r>
        <w:rPr>
          <w:rFonts w:hint="eastAsia" w:ascii="仿宋_GB2312" w:hAnsi="Times New Roman" w:eastAsia="仿宋_GB2312"/>
          <w:color w:val="000000"/>
          <w:sz w:val="32"/>
          <w:szCs w:val="32"/>
          <w:highlight w:val="none"/>
          <w:lang w:val="en-US" w:eastAsia="zh-CN"/>
        </w:rPr>
        <w:t>中标</w:t>
      </w:r>
      <w:r>
        <w:rPr>
          <w:rFonts w:hint="eastAsia" w:ascii="仿宋_GB2312" w:hAnsi="Times New Roman" w:eastAsia="仿宋_GB2312"/>
          <w:color w:val="000000"/>
          <w:sz w:val="32"/>
          <w:szCs w:val="32"/>
          <w:highlight w:val="none"/>
        </w:rPr>
        <w:t>方承担，并承担由此对</w:t>
      </w:r>
      <w:r>
        <w:rPr>
          <w:rFonts w:hint="eastAsia" w:ascii="仿宋_GB2312" w:hAnsi="Times New Roman" w:eastAsia="仿宋_GB2312"/>
          <w:color w:val="000000"/>
          <w:sz w:val="32"/>
          <w:szCs w:val="32"/>
          <w:highlight w:val="none"/>
          <w:lang w:val="en-US" w:eastAsia="zh-CN"/>
        </w:rPr>
        <w:t>招标</w:t>
      </w:r>
      <w:r>
        <w:rPr>
          <w:rFonts w:hint="eastAsia" w:ascii="仿宋_GB2312" w:hAnsi="Times New Roman" w:eastAsia="仿宋_GB2312"/>
          <w:color w:val="000000"/>
          <w:sz w:val="32"/>
          <w:szCs w:val="32"/>
          <w:highlight w:val="none"/>
        </w:rPr>
        <w:t>方造成的损失。</w:t>
      </w:r>
    </w:p>
    <w:p w14:paraId="16E07784">
      <w:pPr>
        <w:spacing w:line="360" w:lineRule="auto"/>
        <w:ind w:firstLine="320" w:firstLineChars="100"/>
        <w:rPr>
          <w:rFonts w:hint="eastAsia" w:ascii="仿宋_GB2312" w:hAnsi="仿宋_GB2312" w:eastAsia="仿宋_GB2312" w:cs="仿宋_GB2312"/>
          <w:bCs/>
          <w:sz w:val="32"/>
          <w:szCs w:val="32"/>
          <w:lang w:val="en-US" w:eastAsia="zh-CN"/>
        </w:rPr>
      </w:pP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lang w:val="en-US" w:eastAsia="zh-CN"/>
        </w:rPr>
        <w:t>二</w:t>
      </w: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lang w:val="en-US" w:eastAsia="zh-CN"/>
        </w:rPr>
        <w:t>因中标方产品打印质量问题导致招标方受投诉时，中标方应承担由此给</w:t>
      </w:r>
      <w:r>
        <w:rPr>
          <w:rFonts w:hint="eastAsia" w:ascii="仿宋_GB2312" w:hAnsi="仿宋_GB2312" w:eastAsia="仿宋_GB2312" w:cs="仿宋_GB2312"/>
          <w:bCs/>
          <w:sz w:val="32"/>
          <w:szCs w:val="32"/>
          <w:lang w:val="en-US" w:eastAsia="zh-CN"/>
        </w:rPr>
        <w:t>招标方造成的一切损失责任。</w:t>
      </w:r>
    </w:p>
    <w:p w14:paraId="72FD57EA">
      <w:pPr>
        <w:ind w:firstLine="320" w:firstLineChars="1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中标方根据招标方打印需求，提供打印设备放置地点。中标方自行负责打印服务的信息端口接入及安装，提供电子手腕带打印相关设备设施，包括但不限于金海湖院区按需提供成人及儿童电子手腕带打印配套设备至少4台以上，广惠院区按需提供成人及儿童电子手腕带打印配套设备至少4台以上。</w:t>
      </w:r>
    </w:p>
    <w:p w14:paraId="6C3B6CFC">
      <w:pPr>
        <w:spacing w:line="360" w:lineRule="auto"/>
        <w:ind w:firstLine="320" w:firstLineChars="1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（四）中标方在为招标方服务期间，所提供的打印服务需满足招标方打印参数要求（详见附件1）。及时按照招标方要求完成打印服务。</w:t>
      </w:r>
    </w:p>
    <w:p w14:paraId="7B91D297">
      <w:pPr>
        <w:spacing w:line="360" w:lineRule="auto"/>
        <w:ind w:firstLine="320" w:firstLineChars="1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（五）中标方在为招标方服务期间，应保守招标方商业及打印信息秘密，由于中标方原因造成招标方商业信息及其他所接触的信息泄露。中标方应承担由此给招标方造成的一切经济损失及法律责任。</w:t>
      </w:r>
    </w:p>
    <w:p w14:paraId="7F35786F">
      <w:pPr>
        <w:spacing w:line="360" w:lineRule="auto"/>
        <w:ind w:firstLine="320" w:firstLineChars="1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（六）中标方在为招标方服务期间，中标方维保、打印服务现场工作员应遵守招标方各项规章制度。</w:t>
      </w:r>
    </w:p>
    <w:p w14:paraId="6F6EC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黑体" w:hAnsi="黑体" w:eastAsia="黑体" w:cs="黑体"/>
          <w:i w:val="0"/>
          <w:iCs w:val="0"/>
          <w:caps w:val="0"/>
          <w:color w:val="555555"/>
          <w:spacing w:val="0"/>
          <w:sz w:val="32"/>
          <w:szCs w:val="32"/>
          <w:shd w:val="clear" w:fill="FFFFFF"/>
          <w:lang w:val="en-US" w:eastAsia="zh-CN"/>
        </w:rPr>
      </w:pPr>
    </w:p>
    <w:p w14:paraId="74BC74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454D3F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60996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7E029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1C819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65B46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45222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0E52B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3D45C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34FF3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41AD7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28582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64FA78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479D15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29921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黑体" w:hAnsi="黑体" w:eastAsia="黑体" w:cs="黑体"/>
          <w:i w:val="0"/>
          <w:iCs w:val="0"/>
          <w:caps w:val="0"/>
          <w:color w:val="555555"/>
          <w:spacing w:val="0"/>
          <w:sz w:val="32"/>
          <w:szCs w:val="32"/>
          <w:shd w:val="clear" w:fill="FFFFFF"/>
          <w:lang w:val="en-US" w:eastAsia="zh-CN"/>
        </w:rPr>
      </w:pPr>
      <w:r>
        <w:rPr>
          <w:rFonts w:hint="eastAsia" w:ascii="黑体" w:hAnsi="黑体" w:eastAsia="黑体" w:cs="黑体"/>
          <w:i w:val="0"/>
          <w:iCs w:val="0"/>
          <w:caps w:val="0"/>
          <w:color w:val="555555"/>
          <w:spacing w:val="0"/>
          <w:sz w:val="32"/>
          <w:szCs w:val="32"/>
          <w:shd w:val="clear" w:fill="FFFFFF"/>
          <w:lang w:val="en-US" w:eastAsia="zh-CN"/>
        </w:rPr>
        <w:t>附件3</w:t>
      </w:r>
    </w:p>
    <w:p w14:paraId="10665FCF">
      <w:pPr>
        <w:ind w:firstLine="3253" w:firstLineChars="900"/>
        <w:jc w:val="both"/>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报价单</w:t>
      </w:r>
    </w:p>
    <w:p w14:paraId="3C27D715">
      <w:pPr>
        <w:jc w:val="both"/>
        <w:rPr>
          <w:rFonts w:hint="default" w:ascii="Times New Roman" w:hAnsi="Times New Roman" w:eastAsia="宋体" w:cs="Times New Roman"/>
          <w:b/>
          <w:bCs/>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097"/>
        <w:gridCol w:w="1920"/>
        <w:gridCol w:w="1185"/>
      </w:tblGrid>
      <w:tr w14:paraId="79EB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19" w:type="dxa"/>
          </w:tcPr>
          <w:p w14:paraId="1F08551F">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序号</w:t>
            </w:r>
          </w:p>
        </w:tc>
        <w:tc>
          <w:tcPr>
            <w:tcW w:w="3097" w:type="dxa"/>
          </w:tcPr>
          <w:p w14:paraId="3EF059C7">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名称</w:t>
            </w:r>
          </w:p>
        </w:tc>
        <w:tc>
          <w:tcPr>
            <w:tcW w:w="1920" w:type="dxa"/>
          </w:tcPr>
          <w:p w14:paraId="4FE7F3FC">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单价</w:t>
            </w:r>
          </w:p>
          <w:p w14:paraId="16E80A5B">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（元/条）</w:t>
            </w:r>
          </w:p>
        </w:tc>
        <w:tc>
          <w:tcPr>
            <w:tcW w:w="1185" w:type="dxa"/>
          </w:tcPr>
          <w:p w14:paraId="412724A3">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备注</w:t>
            </w:r>
          </w:p>
        </w:tc>
      </w:tr>
      <w:tr w14:paraId="30C3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39B8D2E">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r>
              <w:rPr>
                <w:rFonts w:hint="eastAsia" w:ascii="宋体" w:hAnsi="宋体" w:eastAsia="宋体" w:cs="宋体"/>
                <w:b/>
                <w:bCs/>
                <w:i w:val="0"/>
                <w:iCs w:val="0"/>
                <w:caps w:val="0"/>
                <w:color w:val="555555"/>
                <w:spacing w:val="0"/>
                <w:sz w:val="32"/>
                <w:szCs w:val="32"/>
                <w:shd w:val="clear" w:fill="FFFFFF"/>
                <w:vertAlign w:val="baseline"/>
                <w:lang w:val="en-US" w:eastAsia="zh-CN"/>
              </w:rPr>
              <w:t>1</w:t>
            </w:r>
          </w:p>
        </w:tc>
        <w:tc>
          <w:tcPr>
            <w:tcW w:w="3097" w:type="dxa"/>
          </w:tcPr>
          <w:p w14:paraId="41F27456">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r>
              <w:rPr>
                <w:rFonts w:hint="eastAsia" w:ascii="宋体" w:hAnsi="宋体" w:eastAsia="宋体" w:cs="宋体"/>
                <w:b/>
                <w:bCs/>
                <w:i w:val="0"/>
                <w:iCs w:val="0"/>
                <w:caps w:val="0"/>
                <w:color w:val="555555"/>
                <w:spacing w:val="0"/>
                <w:sz w:val="32"/>
                <w:szCs w:val="32"/>
                <w:shd w:val="clear" w:fill="FFFFFF"/>
                <w:vertAlign w:val="baseline"/>
                <w:lang w:val="en-US" w:eastAsia="zh-CN"/>
              </w:rPr>
              <w:t>成人手腕带</w:t>
            </w:r>
          </w:p>
        </w:tc>
        <w:tc>
          <w:tcPr>
            <w:tcW w:w="1920" w:type="dxa"/>
          </w:tcPr>
          <w:p w14:paraId="00FD3506">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p>
        </w:tc>
        <w:tc>
          <w:tcPr>
            <w:tcW w:w="1185" w:type="dxa"/>
          </w:tcPr>
          <w:p w14:paraId="4E24E787">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p>
        </w:tc>
      </w:tr>
      <w:tr w14:paraId="6F48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F2D80E7">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r>
              <w:rPr>
                <w:rFonts w:hint="eastAsia" w:ascii="宋体" w:hAnsi="宋体" w:eastAsia="宋体" w:cs="宋体"/>
                <w:b/>
                <w:bCs/>
                <w:i w:val="0"/>
                <w:iCs w:val="0"/>
                <w:caps w:val="0"/>
                <w:color w:val="555555"/>
                <w:spacing w:val="0"/>
                <w:sz w:val="32"/>
                <w:szCs w:val="32"/>
                <w:shd w:val="clear" w:fill="FFFFFF"/>
                <w:vertAlign w:val="baseline"/>
                <w:lang w:val="en-US" w:eastAsia="zh-CN"/>
              </w:rPr>
              <w:t>2</w:t>
            </w:r>
          </w:p>
        </w:tc>
        <w:tc>
          <w:tcPr>
            <w:tcW w:w="3097" w:type="dxa"/>
          </w:tcPr>
          <w:p w14:paraId="1D19D582">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r>
              <w:rPr>
                <w:rFonts w:hint="eastAsia" w:ascii="宋体" w:hAnsi="宋体" w:eastAsia="宋体" w:cs="宋体"/>
                <w:b/>
                <w:bCs/>
                <w:i w:val="0"/>
                <w:iCs w:val="0"/>
                <w:caps w:val="0"/>
                <w:color w:val="555555"/>
                <w:spacing w:val="0"/>
                <w:sz w:val="32"/>
                <w:szCs w:val="32"/>
                <w:shd w:val="clear" w:fill="FFFFFF"/>
                <w:vertAlign w:val="baseline"/>
                <w:lang w:val="en-US" w:eastAsia="zh-CN"/>
              </w:rPr>
              <w:t>儿童手腕带</w:t>
            </w:r>
          </w:p>
        </w:tc>
        <w:tc>
          <w:tcPr>
            <w:tcW w:w="1920" w:type="dxa"/>
          </w:tcPr>
          <w:p w14:paraId="4F29D996">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p>
        </w:tc>
        <w:tc>
          <w:tcPr>
            <w:tcW w:w="1185" w:type="dxa"/>
          </w:tcPr>
          <w:p w14:paraId="29803D48">
            <w:pPr>
              <w:pStyle w:val="2"/>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p>
        </w:tc>
      </w:tr>
    </w:tbl>
    <w:p w14:paraId="4B9B6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注：1.本次询价供应所报的价格，为所提供的设备打印出的单条手腕带的价格；</w:t>
      </w:r>
    </w:p>
    <w:p w14:paraId="793F1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rPr>
        <w:t>本次报价为送达采购人指定地点的全部费用（包含招标代理服务费；上、下车人工费；运输费；检测费；保险费；验收前保管费（含场租费）；相关税费；验收费用；管理费用等所有费用），请各潜在供应商在报价时充分考虑上述费用再报价。</w:t>
      </w:r>
    </w:p>
    <w:p w14:paraId="118A489A">
      <w:pPr>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 xml:space="preserve">                              </w:t>
      </w:r>
    </w:p>
    <w:p w14:paraId="740BEC07">
      <w:pPr>
        <w:jc w:val="center"/>
        <w:rPr>
          <w:rFonts w:hint="eastAsia" w:ascii="Times New Roman" w:hAnsi="Times New Roman" w:eastAsia="宋体" w:cs="Times New Roman"/>
          <w:b/>
          <w:bCs/>
          <w:sz w:val="30"/>
          <w:szCs w:val="30"/>
          <w:lang w:val="en-US" w:eastAsia="zh-CN"/>
        </w:rPr>
      </w:pPr>
    </w:p>
    <w:p w14:paraId="3D83F1F4">
      <w:pPr>
        <w:jc w:val="center"/>
        <w:rPr>
          <w:rFonts w:hint="eastAsia" w:ascii="Times New Roman" w:hAnsi="Times New Roman" w:eastAsia="宋体" w:cs="Times New Roman"/>
          <w:b/>
          <w:bCs/>
          <w:sz w:val="30"/>
          <w:szCs w:val="30"/>
          <w:lang w:val="en-US" w:eastAsia="zh-CN"/>
        </w:rPr>
      </w:pPr>
    </w:p>
    <w:p w14:paraId="45296E2C">
      <w:pPr>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 xml:space="preserve"> 单位名称（盖章）：</w:t>
      </w:r>
    </w:p>
    <w:p w14:paraId="676003A6">
      <w:pPr>
        <w:widowControl/>
        <w:ind w:firstLine="5421" w:firstLineChars="1800"/>
        <w:jc w:val="both"/>
        <w:rPr>
          <w:rFonts w:hint="default" w:ascii="宋体" w:hAnsi="宋体" w:eastAsia="宋体" w:cs="宋体"/>
          <w:sz w:val="24"/>
          <w:szCs w:val="24"/>
          <w:lang w:val="en-US"/>
        </w:rPr>
      </w:pPr>
      <w:r>
        <w:rPr>
          <w:rFonts w:hint="eastAsia" w:ascii="Times New Roman" w:hAnsi="Times New Roman" w:eastAsia="宋体" w:cs="Times New Roman"/>
          <w:b/>
          <w:bCs/>
          <w:sz w:val="30"/>
          <w:szCs w:val="30"/>
          <w:lang w:val="en-US" w:eastAsia="zh-CN"/>
        </w:rPr>
        <w:t>年   月    日</w:t>
      </w:r>
    </w:p>
    <w:p w14:paraId="198B3D4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BB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2025-01-17T09:28:32Z</dcterms:created>
  <dc:creator>张峰</dc:creator>
  <cp:lastModifiedBy>见面不识君</cp:lastModifiedBy>
  <dcterms:modified xsi:type="dcterms:W3CDTF">2025-01-17T09:28:43Z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eyJoZGlkIjoiODZhNmQ2OGMyZTgxYzRjYTgxZmUxNzE0ZDA5NzVhNDIiLCJ1c2VySWQiOiIxMDczNjI4NzgyIn0=</vt:lpwstr>
  </property>
  <property fmtid="{D5CDD505-2E9C-101B-9397-08002B2CF9AE}" pid="4" name="ICV">
    <vt:lpwstr>D3E8194A749B4AC5935A1EB8C0AFF437_12</vt:lpwstr>
  </property>
</Properties>
</file>